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B72A" w14:textId="6C45CE28" w:rsidR="008C1F9F" w:rsidRDefault="008C1F9F" w:rsidP="00337770">
      <w:pPr>
        <w:pStyle w:val="NormalIndent"/>
        <w:snapToGrid w:val="0"/>
        <w:spacing w:line="240" w:lineRule="atLeast"/>
        <w:ind w:left="0"/>
        <w:jc w:val="center"/>
        <w:rPr>
          <w:rFonts w:eastAsia="微軟正黑體"/>
          <w:b/>
          <w:szCs w:val="24"/>
          <w:u w:val="single"/>
        </w:rPr>
      </w:pPr>
    </w:p>
    <w:p w14:paraId="39D916B2" w14:textId="77777777" w:rsidR="000B66C8" w:rsidRDefault="000B66C8" w:rsidP="00337770">
      <w:pPr>
        <w:pStyle w:val="NormalIndent"/>
        <w:snapToGrid w:val="0"/>
        <w:spacing w:line="240" w:lineRule="atLeast"/>
        <w:ind w:left="0"/>
        <w:jc w:val="center"/>
        <w:rPr>
          <w:rFonts w:eastAsia="微軟正黑體"/>
          <w:b/>
          <w:szCs w:val="24"/>
          <w:u w:val="single"/>
        </w:rPr>
      </w:pPr>
      <w:r w:rsidRPr="000B66C8">
        <w:rPr>
          <w:rFonts w:eastAsia="微軟正黑體"/>
          <w:b/>
          <w:szCs w:val="24"/>
          <w:u w:val="single"/>
        </w:rPr>
        <w:t>Listing of UAE Companies in Hong Kong: Hub for Finance and Technology Companies</w:t>
      </w:r>
      <w:r>
        <w:rPr>
          <w:rFonts w:eastAsia="微軟正黑體"/>
          <w:b/>
          <w:szCs w:val="24"/>
          <w:u w:val="single"/>
        </w:rPr>
        <w:t xml:space="preserve"> </w:t>
      </w:r>
    </w:p>
    <w:p w14:paraId="78667752" w14:textId="77777777" w:rsidR="00337770" w:rsidRDefault="00337770" w:rsidP="00337770">
      <w:pPr>
        <w:pStyle w:val="NormalIndent"/>
        <w:snapToGrid w:val="0"/>
        <w:spacing w:line="240" w:lineRule="atLeast"/>
        <w:ind w:left="0"/>
        <w:rPr>
          <w:rFonts w:eastAsia="微軟正黑體"/>
          <w:bCs/>
          <w:color w:val="FF0000"/>
          <w:szCs w:val="24"/>
        </w:rPr>
      </w:pPr>
    </w:p>
    <w:tbl>
      <w:tblPr>
        <w:tblStyle w:val="TableGrid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85"/>
        <w:gridCol w:w="6629"/>
      </w:tblGrid>
      <w:tr w:rsidR="00337770" w14:paraId="1058A488" w14:textId="77777777" w:rsidTr="007A7085">
        <w:trPr>
          <w:trHeight w:val="416"/>
        </w:trPr>
        <w:tc>
          <w:tcPr>
            <w:tcW w:w="2266" w:type="dxa"/>
            <w:hideMark/>
          </w:tcPr>
          <w:p w14:paraId="0DFC8F69" w14:textId="77777777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Date </w:t>
            </w:r>
          </w:p>
        </w:tc>
        <w:tc>
          <w:tcPr>
            <w:tcW w:w="285" w:type="dxa"/>
            <w:hideMark/>
          </w:tcPr>
          <w:p w14:paraId="2D16641F" w14:textId="77777777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>:</w:t>
            </w:r>
          </w:p>
        </w:tc>
        <w:tc>
          <w:tcPr>
            <w:tcW w:w="6629" w:type="dxa"/>
            <w:hideMark/>
          </w:tcPr>
          <w:p w14:paraId="4F0BBCD9" w14:textId="31582FFE" w:rsidR="00337770" w:rsidRDefault="008E0C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>22</w:t>
            </w:r>
            <w:r w:rsidR="00337770">
              <w:rPr>
                <w:rFonts w:eastAsia="微軟正黑體"/>
                <w:bCs/>
              </w:rPr>
              <w:t xml:space="preserve"> </w:t>
            </w:r>
            <w:r w:rsidR="00A861E8">
              <w:rPr>
                <w:rFonts w:eastAsia="微軟正黑體"/>
                <w:bCs/>
              </w:rPr>
              <w:t>January 2024</w:t>
            </w:r>
            <w:r w:rsidR="00337770">
              <w:rPr>
                <w:rFonts w:eastAsia="微軟正黑體"/>
                <w:bCs/>
              </w:rPr>
              <w:t xml:space="preserve"> (</w:t>
            </w:r>
            <w:r>
              <w:rPr>
                <w:rFonts w:eastAsia="微軟正黑體"/>
                <w:bCs/>
              </w:rPr>
              <w:t>Monday</w:t>
            </w:r>
            <w:r w:rsidR="00337770">
              <w:rPr>
                <w:rFonts w:eastAsia="微軟正黑體"/>
                <w:bCs/>
              </w:rPr>
              <w:t xml:space="preserve">) </w:t>
            </w:r>
          </w:p>
        </w:tc>
      </w:tr>
      <w:tr w:rsidR="00337770" w14:paraId="515DDCDD" w14:textId="77777777" w:rsidTr="007A7085">
        <w:trPr>
          <w:trHeight w:val="433"/>
        </w:trPr>
        <w:tc>
          <w:tcPr>
            <w:tcW w:w="2266" w:type="dxa"/>
            <w:hideMark/>
          </w:tcPr>
          <w:p w14:paraId="33ACA4C3" w14:textId="77777777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Time </w:t>
            </w:r>
          </w:p>
        </w:tc>
        <w:tc>
          <w:tcPr>
            <w:tcW w:w="285" w:type="dxa"/>
            <w:hideMark/>
          </w:tcPr>
          <w:p w14:paraId="01399EE4" w14:textId="77777777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>:</w:t>
            </w:r>
          </w:p>
        </w:tc>
        <w:tc>
          <w:tcPr>
            <w:tcW w:w="6629" w:type="dxa"/>
            <w:hideMark/>
          </w:tcPr>
          <w:p w14:paraId="1A914056" w14:textId="1A89765A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15:00-16:00 HKT </w:t>
            </w:r>
            <w:r w:rsidR="000B66C8">
              <w:rPr>
                <w:rFonts w:eastAsia="微軟正黑體"/>
                <w:bCs/>
              </w:rPr>
              <w:t xml:space="preserve">/ </w:t>
            </w:r>
            <w:r w:rsidR="000B66C8" w:rsidRPr="00C257FA">
              <w:rPr>
                <w:i/>
                <w:color w:val="000000" w:themeColor="text1"/>
              </w:rPr>
              <w:t>11:00-12:00 GST</w:t>
            </w:r>
            <w:r w:rsidR="000B66C8" w:rsidRPr="000B66C8">
              <w:rPr>
                <w:iCs/>
                <w:color w:val="000000" w:themeColor="text1"/>
              </w:rPr>
              <w:t xml:space="preserve"> (</w:t>
            </w:r>
            <w:r w:rsidR="000B66C8" w:rsidRPr="005E46AC">
              <w:rPr>
                <w:iCs/>
                <w:color w:val="000000" w:themeColor="text1"/>
              </w:rPr>
              <w:t>1</w:t>
            </w:r>
            <w:r w:rsidR="000B66C8">
              <w:rPr>
                <w:iCs/>
                <w:color w:val="000000" w:themeColor="text1"/>
              </w:rPr>
              <w:t xml:space="preserve"> </w:t>
            </w:r>
            <w:r w:rsidR="000B66C8" w:rsidRPr="005E46AC">
              <w:rPr>
                <w:iCs/>
                <w:color w:val="000000" w:themeColor="text1"/>
              </w:rPr>
              <w:t>h</w:t>
            </w:r>
            <w:r w:rsidR="000B66C8">
              <w:rPr>
                <w:iCs/>
                <w:color w:val="000000" w:themeColor="text1"/>
              </w:rPr>
              <w:t>our</w:t>
            </w:r>
            <w:r w:rsidR="000B66C8" w:rsidRPr="005E46AC">
              <w:rPr>
                <w:iCs/>
                <w:color w:val="000000" w:themeColor="text1"/>
              </w:rPr>
              <w:t>)</w:t>
            </w:r>
          </w:p>
        </w:tc>
      </w:tr>
      <w:tr w:rsidR="00153C1C" w14:paraId="69D6895A" w14:textId="77777777" w:rsidTr="007A7085">
        <w:trPr>
          <w:trHeight w:val="416"/>
        </w:trPr>
        <w:tc>
          <w:tcPr>
            <w:tcW w:w="2266" w:type="dxa"/>
          </w:tcPr>
          <w:p w14:paraId="7D60A013" w14:textId="61EAFCB3" w:rsidR="00153C1C" w:rsidRDefault="00153C1C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Format </w:t>
            </w:r>
          </w:p>
        </w:tc>
        <w:tc>
          <w:tcPr>
            <w:tcW w:w="285" w:type="dxa"/>
          </w:tcPr>
          <w:p w14:paraId="7EE9E65E" w14:textId="5A46ECDA" w:rsidR="00153C1C" w:rsidRDefault="00153C1C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>:</w:t>
            </w:r>
          </w:p>
        </w:tc>
        <w:tc>
          <w:tcPr>
            <w:tcW w:w="6629" w:type="dxa"/>
          </w:tcPr>
          <w:p w14:paraId="6E37B2E2" w14:textId="46F4F362" w:rsidR="00153C1C" w:rsidRDefault="00153C1C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 w:rsidRPr="00153C1C">
              <w:rPr>
                <w:rFonts w:eastAsia="微軟正黑體"/>
                <w:bCs/>
              </w:rPr>
              <w:t>Zoom Webinar</w:t>
            </w:r>
          </w:p>
        </w:tc>
      </w:tr>
      <w:tr w:rsidR="00337770" w14:paraId="64F8815A" w14:textId="77777777" w:rsidTr="00452F2F">
        <w:trPr>
          <w:trHeight w:val="80"/>
        </w:trPr>
        <w:tc>
          <w:tcPr>
            <w:tcW w:w="2266" w:type="dxa"/>
            <w:hideMark/>
          </w:tcPr>
          <w:p w14:paraId="18EEE36A" w14:textId="77777777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Language </w:t>
            </w:r>
          </w:p>
        </w:tc>
        <w:tc>
          <w:tcPr>
            <w:tcW w:w="285" w:type="dxa"/>
            <w:hideMark/>
          </w:tcPr>
          <w:p w14:paraId="1F97227E" w14:textId="77777777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>:</w:t>
            </w:r>
          </w:p>
        </w:tc>
        <w:tc>
          <w:tcPr>
            <w:tcW w:w="6629" w:type="dxa"/>
            <w:hideMark/>
          </w:tcPr>
          <w:p w14:paraId="0412EC1B" w14:textId="0116C588" w:rsidR="00153C1C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English </w:t>
            </w:r>
            <w:r w:rsidR="00153C1C" w:rsidRPr="00153C1C">
              <w:rPr>
                <w:rFonts w:eastAsia="微軟正黑體"/>
                <w:bCs/>
                <w:i/>
                <w:iCs/>
              </w:rPr>
              <w:t>(no simultaneous interpretation</w:t>
            </w:r>
            <w:r w:rsidR="00153C1C">
              <w:rPr>
                <w:rFonts w:eastAsia="微軟正黑體"/>
                <w:bCs/>
                <w:i/>
                <w:iCs/>
              </w:rPr>
              <w:t xml:space="preserve"> service </w:t>
            </w:r>
            <w:r w:rsidR="00153C1C" w:rsidRPr="00153C1C">
              <w:rPr>
                <w:rFonts w:eastAsia="微軟正黑體"/>
                <w:bCs/>
                <w:i/>
                <w:iCs/>
              </w:rPr>
              <w:t>will be provided)</w:t>
            </w:r>
            <w:r w:rsidR="00153C1C">
              <w:rPr>
                <w:rFonts w:eastAsia="微軟正黑體"/>
                <w:bCs/>
              </w:rPr>
              <w:t xml:space="preserve"> </w:t>
            </w:r>
          </w:p>
        </w:tc>
      </w:tr>
      <w:tr w:rsidR="00337770" w14:paraId="65D3882A" w14:textId="77777777" w:rsidTr="00452F2F">
        <w:trPr>
          <w:trHeight w:val="80"/>
        </w:trPr>
        <w:tc>
          <w:tcPr>
            <w:tcW w:w="2266" w:type="dxa"/>
          </w:tcPr>
          <w:p w14:paraId="5CB0BF55" w14:textId="0C4514E4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  <w:bookmarkStart w:id="0" w:name="_Hlk105595495"/>
          </w:p>
        </w:tc>
        <w:tc>
          <w:tcPr>
            <w:tcW w:w="285" w:type="dxa"/>
          </w:tcPr>
          <w:p w14:paraId="074F7930" w14:textId="7E7E3738" w:rsidR="00337770" w:rsidRDefault="00337770">
            <w:pPr>
              <w:snapToGrid w:val="0"/>
              <w:spacing w:line="380" w:lineRule="exact"/>
              <w:ind w:left="-379" w:firstLine="379"/>
              <w:rPr>
                <w:rFonts w:eastAsia="微軟正黑體"/>
                <w:bCs/>
              </w:rPr>
            </w:pPr>
          </w:p>
        </w:tc>
        <w:tc>
          <w:tcPr>
            <w:tcW w:w="6629" w:type="dxa"/>
          </w:tcPr>
          <w:p w14:paraId="16C02EE3" w14:textId="27876EC7" w:rsidR="00337770" w:rsidRDefault="00337770">
            <w:pPr>
              <w:snapToGrid w:val="0"/>
              <w:spacing w:line="380" w:lineRule="exact"/>
              <w:rPr>
                <w:rFonts w:eastAsia="微軟正黑體"/>
                <w:bCs/>
              </w:rPr>
            </w:pPr>
          </w:p>
        </w:tc>
      </w:tr>
      <w:bookmarkEnd w:id="0"/>
    </w:tbl>
    <w:p w14:paraId="7F1B9AF4" w14:textId="77777777" w:rsidR="00337770" w:rsidRDefault="00337770" w:rsidP="00337770">
      <w:pPr>
        <w:ind w:right="-630"/>
        <w:jc w:val="both"/>
      </w:pPr>
    </w:p>
    <w:p w14:paraId="1C9DEDB4" w14:textId="63F3E99C" w:rsidR="008E0C70" w:rsidRDefault="008E0C70" w:rsidP="008E0C70">
      <w:r>
        <w:t xml:space="preserve">Middle East stock exchanges have witnessed record-breaking initial public offerings (IPOs) in recent years, with </w:t>
      </w:r>
      <w:bookmarkStart w:id="1" w:name="_GoBack"/>
      <w:bookmarkEnd w:id="1"/>
      <w:r>
        <w:t>two bourses in the UAE ranking among the world’s top 10 in 2022 in terms of IPO funds raised. The opportunities stemming from overseas listings, primary, dual-primary and secondary included, however, have yet to be fully exploited.</w:t>
      </w:r>
    </w:p>
    <w:p w14:paraId="71B4C3B1" w14:textId="77777777" w:rsidR="008E0C70" w:rsidRDefault="008E0C70" w:rsidP="008E0C70"/>
    <w:p w14:paraId="6D2B5059" w14:textId="0B80CF6E" w:rsidR="00337770" w:rsidRPr="005F4869" w:rsidRDefault="008E0C70" w:rsidP="008E0C70">
      <w:r>
        <w:t>In this webinar, we will look into UAE companies’ funding needs and how they can benefit from listing in Hong Kong</w:t>
      </w:r>
      <w:r w:rsidRPr="005F4869">
        <w:t>. The speakers will also share their insights and experience on leveraging the edges of Hong Kong to capture the many business opportunities available to UAE companies.</w:t>
      </w:r>
    </w:p>
    <w:p w14:paraId="67A252ED" w14:textId="77777777" w:rsidR="008E0C70" w:rsidRPr="005F4869" w:rsidRDefault="008E0C70" w:rsidP="008E0C70"/>
    <w:tbl>
      <w:tblPr>
        <w:tblStyle w:val="TableGridLight"/>
        <w:tblW w:w="9810" w:type="dxa"/>
        <w:tblInd w:w="-5" w:type="dxa"/>
        <w:tblLook w:val="01E0" w:firstRow="1" w:lastRow="1" w:firstColumn="1" w:lastColumn="1" w:noHBand="0" w:noVBand="0"/>
      </w:tblPr>
      <w:tblGrid>
        <w:gridCol w:w="1680"/>
        <w:gridCol w:w="8130"/>
      </w:tblGrid>
      <w:tr w:rsidR="00153C1C" w14:paraId="3430F0A0" w14:textId="77777777" w:rsidTr="002E6723">
        <w:trPr>
          <w:trHeight w:val="1574"/>
        </w:trPr>
        <w:tc>
          <w:tcPr>
            <w:tcW w:w="1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BB45E" w14:textId="4311BF96" w:rsidR="00153C1C" w:rsidRPr="005F4869" w:rsidRDefault="00153C1C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</w:rPr>
            </w:pPr>
            <w:r w:rsidRPr="005F4869">
              <w:rPr>
                <w:rFonts w:eastAsia="微軟正黑體"/>
                <w:bCs/>
              </w:rPr>
              <w:t>15:00-15:10</w:t>
            </w:r>
            <w:r w:rsidR="00C257FA" w:rsidRPr="005F4869">
              <w:rPr>
                <w:rFonts w:eastAsia="微軟正黑體"/>
                <w:bCs/>
              </w:rPr>
              <w:t xml:space="preserve"> </w:t>
            </w:r>
            <w:r w:rsidR="00C257FA" w:rsidRPr="005F4869">
              <w:rPr>
                <w:rFonts w:eastAsia="微軟正黑體"/>
                <w:bCs/>
                <w:i/>
                <w:iCs/>
              </w:rPr>
              <w:t>(11:00-11:10)</w:t>
            </w:r>
          </w:p>
          <w:p w14:paraId="319212D8" w14:textId="0A1BF92F" w:rsidR="00153C1C" w:rsidRPr="005F4869" w:rsidRDefault="00153C1C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</w:rPr>
            </w:pPr>
            <w:r w:rsidRPr="005F4869">
              <w:rPr>
                <w:rFonts w:eastAsia="微軟正黑體"/>
                <w:bCs/>
              </w:rPr>
              <w:t xml:space="preserve"> </w:t>
            </w:r>
          </w:p>
        </w:tc>
        <w:tc>
          <w:tcPr>
            <w:tcW w:w="8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355C7" w14:textId="61C377A5" w:rsidR="00D45A45" w:rsidRPr="005F4869" w:rsidRDefault="00D45A45" w:rsidP="00153C1C">
            <w:pPr>
              <w:snapToGrid w:val="0"/>
              <w:rPr>
                <w:rFonts w:eastAsia="微軟正黑體"/>
                <w:b/>
                <w:i/>
                <w:iCs/>
              </w:rPr>
            </w:pPr>
            <w:bookmarkStart w:id="2" w:name="_Hlk106098796"/>
            <w:r w:rsidRPr="005F4869">
              <w:rPr>
                <w:rFonts w:eastAsia="微軟正黑體"/>
                <w:b/>
                <w:i/>
                <w:iCs/>
              </w:rPr>
              <w:t>Hong Kong: An Ideal Overseas Listing Venue for Middle East Companies</w:t>
            </w:r>
          </w:p>
          <w:p w14:paraId="19CDE248" w14:textId="17D20762" w:rsidR="00153C1C" w:rsidRPr="005F4869" w:rsidRDefault="00153C1C" w:rsidP="00153C1C">
            <w:pPr>
              <w:snapToGrid w:val="0"/>
              <w:rPr>
                <w:rFonts w:eastAsia="微軟正黑體"/>
                <w:b/>
                <w:i/>
                <w:iCs/>
              </w:rPr>
            </w:pPr>
          </w:p>
          <w:p w14:paraId="6290518A" w14:textId="144E4FAB" w:rsidR="00153C1C" w:rsidRPr="005F4869" w:rsidRDefault="00153C1C" w:rsidP="00153C1C">
            <w:pPr>
              <w:snapToGrid w:val="0"/>
              <w:rPr>
                <w:rFonts w:eastAsia="微軟正黑體"/>
                <w:bCs/>
              </w:rPr>
            </w:pPr>
            <w:r w:rsidRPr="005F4869">
              <w:rPr>
                <w:rFonts w:eastAsia="微軟正黑體"/>
                <w:b/>
              </w:rPr>
              <w:t>M</w:t>
            </w:r>
            <w:r w:rsidR="0031022A" w:rsidRPr="005F4869">
              <w:rPr>
                <w:rFonts w:eastAsia="微軟正黑體"/>
                <w:b/>
              </w:rPr>
              <w:t>s Irina Fan</w:t>
            </w:r>
          </w:p>
          <w:p w14:paraId="1898ACFC" w14:textId="006056BA" w:rsidR="00153C1C" w:rsidRPr="002E6723" w:rsidRDefault="0031022A" w:rsidP="00153C1C">
            <w:pPr>
              <w:snapToGrid w:val="0"/>
              <w:jc w:val="both"/>
              <w:rPr>
                <w:rFonts w:eastAsia="微軟正黑體"/>
                <w:bCs/>
              </w:rPr>
            </w:pPr>
            <w:r w:rsidRPr="005F4869">
              <w:rPr>
                <w:rFonts w:eastAsia="微軟正黑體"/>
                <w:bCs/>
              </w:rPr>
              <w:t>Director of Research,</w:t>
            </w:r>
            <w:r w:rsidR="00153C1C" w:rsidRPr="005F4869">
              <w:rPr>
                <w:rFonts w:eastAsia="微軟正黑體"/>
                <w:bCs/>
              </w:rPr>
              <w:t xml:space="preserve"> Hong Kong Trade Development Council</w:t>
            </w:r>
          </w:p>
        </w:tc>
      </w:tr>
      <w:tr w:rsidR="00153C1C" w14:paraId="5FE0DB10" w14:textId="77777777" w:rsidTr="00726110">
        <w:trPr>
          <w:trHeight w:val="764"/>
        </w:trPr>
        <w:tc>
          <w:tcPr>
            <w:tcW w:w="1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708A99" w14:textId="048E65B9" w:rsidR="00153C1C" w:rsidRDefault="00153C1C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>15:10-15:20</w:t>
            </w:r>
            <w:r w:rsidR="00C257FA">
              <w:rPr>
                <w:rFonts w:eastAsia="微軟正黑體"/>
                <w:bCs/>
              </w:rPr>
              <w:t xml:space="preserve"> </w:t>
            </w:r>
          </w:p>
          <w:p w14:paraId="235BAB11" w14:textId="65F41EF5" w:rsidR="00327465" w:rsidRPr="00327465" w:rsidRDefault="00327465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  <w:i/>
                <w:iCs/>
              </w:rPr>
            </w:pPr>
            <w:r w:rsidRPr="00327465">
              <w:rPr>
                <w:rFonts w:eastAsia="微軟正黑體"/>
                <w:bCs/>
                <w:i/>
                <w:iCs/>
              </w:rPr>
              <w:t>(11:10-11:20)</w:t>
            </w:r>
          </w:p>
          <w:p w14:paraId="5EF0437A" w14:textId="63ABEBDE" w:rsidR="00153C1C" w:rsidRDefault="00153C1C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 </w:t>
            </w:r>
          </w:p>
        </w:tc>
        <w:tc>
          <w:tcPr>
            <w:tcW w:w="8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66A43B" w14:textId="5E9AC5F0" w:rsidR="00153C1C" w:rsidRDefault="00153C1C" w:rsidP="00153C1C">
            <w:pPr>
              <w:snapToGrid w:val="0"/>
              <w:rPr>
                <w:rFonts w:eastAsia="微軟正黑體"/>
                <w:b/>
                <w:i/>
                <w:iCs/>
              </w:rPr>
            </w:pPr>
            <w:r>
              <w:rPr>
                <w:rFonts w:eastAsia="微軟正黑體"/>
                <w:b/>
                <w:i/>
                <w:iCs/>
              </w:rPr>
              <w:t>Why Listing in Hong Kong?</w:t>
            </w:r>
          </w:p>
          <w:p w14:paraId="226965BA" w14:textId="77777777" w:rsidR="00215B64" w:rsidRDefault="00215B64" w:rsidP="00153C1C">
            <w:pPr>
              <w:jc w:val="both"/>
            </w:pPr>
          </w:p>
          <w:p w14:paraId="1C718D8B" w14:textId="55C29A7C" w:rsidR="008E0C70" w:rsidRPr="008E0C70" w:rsidRDefault="008E0C70" w:rsidP="00153C1C">
            <w:pPr>
              <w:jc w:val="both"/>
              <w:rPr>
                <w:b/>
                <w:bCs/>
              </w:rPr>
            </w:pPr>
            <w:r w:rsidRPr="008E0C70">
              <w:rPr>
                <w:b/>
                <w:bCs/>
              </w:rPr>
              <w:t>Mr Kenneth Lau</w:t>
            </w:r>
          </w:p>
          <w:p w14:paraId="31959EE4" w14:textId="055975D6" w:rsidR="00153C1C" w:rsidRDefault="008E0C70" w:rsidP="00153C1C">
            <w:pPr>
              <w:jc w:val="both"/>
            </w:pPr>
            <w:r>
              <w:t xml:space="preserve">Executive Director, </w:t>
            </w:r>
            <w:r w:rsidR="00153C1C">
              <w:t>CCB International</w:t>
            </w:r>
          </w:p>
          <w:p w14:paraId="6A8A8A19" w14:textId="6045A865" w:rsidR="00153C1C" w:rsidRDefault="00153C1C" w:rsidP="00153C1C">
            <w:pPr>
              <w:jc w:val="both"/>
              <w:rPr>
                <w:rFonts w:eastAsia="微軟正黑體"/>
                <w:bCs/>
              </w:rPr>
            </w:pPr>
          </w:p>
        </w:tc>
      </w:tr>
      <w:tr w:rsidR="00153C1C" w14:paraId="26DC35A5" w14:textId="77777777" w:rsidTr="00FC27CE">
        <w:trPr>
          <w:trHeight w:val="845"/>
        </w:trPr>
        <w:tc>
          <w:tcPr>
            <w:tcW w:w="1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E1719" w14:textId="42142A3B" w:rsidR="00153C1C" w:rsidRDefault="00153C1C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>15:20-</w:t>
            </w:r>
            <w:r w:rsidR="009B2CC5">
              <w:rPr>
                <w:rFonts w:eastAsia="微軟正黑體"/>
                <w:bCs/>
              </w:rPr>
              <w:t>16:00</w:t>
            </w:r>
          </w:p>
          <w:p w14:paraId="04DDDA6A" w14:textId="012D4F44" w:rsidR="00327465" w:rsidRPr="00327465" w:rsidRDefault="00327465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  <w:i/>
                <w:iCs/>
              </w:rPr>
            </w:pPr>
            <w:r w:rsidRPr="00327465">
              <w:rPr>
                <w:rFonts w:eastAsia="微軟正黑體"/>
                <w:bCs/>
                <w:i/>
                <w:iCs/>
              </w:rPr>
              <w:t>(11:20-</w:t>
            </w:r>
            <w:r w:rsidR="009B2CC5" w:rsidRPr="00327465">
              <w:rPr>
                <w:rFonts w:eastAsia="微軟正黑體"/>
                <w:bCs/>
                <w:i/>
                <w:iCs/>
              </w:rPr>
              <w:t>12:00</w:t>
            </w:r>
            <w:r w:rsidRPr="00327465">
              <w:rPr>
                <w:rFonts w:eastAsia="微軟正黑體"/>
                <w:bCs/>
                <w:i/>
                <w:iCs/>
              </w:rPr>
              <w:t>)</w:t>
            </w:r>
          </w:p>
          <w:p w14:paraId="00588B3D" w14:textId="5C3E377D" w:rsidR="00153C1C" w:rsidRDefault="00153C1C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t xml:space="preserve"> </w:t>
            </w:r>
          </w:p>
        </w:tc>
        <w:tc>
          <w:tcPr>
            <w:tcW w:w="8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1CD01" w14:textId="1F65E606" w:rsidR="00726110" w:rsidRDefault="008E0C70" w:rsidP="00153C1C">
            <w:pPr>
              <w:snapToGrid w:val="0"/>
              <w:jc w:val="both"/>
              <w:rPr>
                <w:rFonts w:eastAsia="微軟正黑體"/>
                <w:b/>
              </w:rPr>
            </w:pPr>
            <w:r>
              <w:rPr>
                <w:b/>
                <w:bCs/>
                <w:color w:val="000000" w:themeColor="text1"/>
              </w:rPr>
              <w:t>Panel Discussion</w:t>
            </w:r>
            <w:r w:rsidR="009B2CC5">
              <w:rPr>
                <w:b/>
                <w:bCs/>
                <w:color w:val="000000" w:themeColor="text1"/>
              </w:rPr>
              <w:t xml:space="preserve"> and Q&amp;A</w:t>
            </w:r>
          </w:p>
          <w:p w14:paraId="64766929" w14:textId="77777777" w:rsidR="00153C1C" w:rsidRDefault="00153C1C" w:rsidP="00C108F0">
            <w:pPr>
              <w:snapToGrid w:val="0"/>
              <w:jc w:val="both"/>
              <w:rPr>
                <w:sz w:val="26"/>
                <w:szCs w:val="26"/>
              </w:rPr>
            </w:pPr>
          </w:p>
          <w:p w14:paraId="558B6C02" w14:textId="12730750" w:rsidR="00F842AB" w:rsidRPr="008A4E8E" w:rsidRDefault="00F842AB" w:rsidP="00C108F0">
            <w:pPr>
              <w:snapToGrid w:val="0"/>
              <w:jc w:val="both"/>
              <w:rPr>
                <w:u w:val="single"/>
              </w:rPr>
            </w:pPr>
            <w:r w:rsidRPr="008A4E8E">
              <w:rPr>
                <w:u w:val="single"/>
              </w:rPr>
              <w:t>Moderator</w:t>
            </w:r>
          </w:p>
          <w:p w14:paraId="454CC500" w14:textId="0535E6D3" w:rsidR="00F842AB" w:rsidRDefault="00F842AB" w:rsidP="00C108F0">
            <w:pPr>
              <w:snapToGrid w:val="0"/>
              <w:jc w:val="both"/>
              <w:rPr>
                <w:sz w:val="26"/>
                <w:szCs w:val="26"/>
              </w:rPr>
            </w:pPr>
            <w:r w:rsidRPr="005F4869">
              <w:rPr>
                <w:rFonts w:eastAsia="微軟正黑體"/>
                <w:b/>
              </w:rPr>
              <w:t>Ms Irina Fan</w:t>
            </w:r>
          </w:p>
          <w:p w14:paraId="6AD8343F" w14:textId="62D6499C" w:rsidR="00F842AB" w:rsidRDefault="00F842AB" w:rsidP="00C108F0">
            <w:pPr>
              <w:snapToGrid w:val="0"/>
              <w:jc w:val="both"/>
              <w:rPr>
                <w:sz w:val="26"/>
                <w:szCs w:val="26"/>
              </w:rPr>
            </w:pPr>
            <w:r w:rsidRPr="005F4869">
              <w:rPr>
                <w:rFonts w:eastAsia="微軟正黑體"/>
                <w:bCs/>
              </w:rPr>
              <w:t>Director of Research, Hong Kong Trade Development Council</w:t>
            </w:r>
          </w:p>
          <w:p w14:paraId="23458082" w14:textId="77777777" w:rsidR="00F842AB" w:rsidRDefault="00F842AB" w:rsidP="00C108F0">
            <w:pPr>
              <w:snapToGrid w:val="0"/>
              <w:jc w:val="both"/>
              <w:rPr>
                <w:sz w:val="26"/>
                <w:szCs w:val="26"/>
              </w:rPr>
            </w:pPr>
          </w:p>
          <w:p w14:paraId="502C3550" w14:textId="77777777" w:rsidR="00F842AB" w:rsidRPr="008A4E8E" w:rsidRDefault="00F842AB" w:rsidP="00C108F0">
            <w:pPr>
              <w:snapToGrid w:val="0"/>
              <w:jc w:val="both"/>
              <w:rPr>
                <w:u w:val="single"/>
              </w:rPr>
            </w:pPr>
            <w:r w:rsidRPr="008A4E8E">
              <w:rPr>
                <w:u w:val="single"/>
              </w:rPr>
              <w:t>Speakers</w:t>
            </w:r>
          </w:p>
          <w:p w14:paraId="268C6A90" w14:textId="77777777" w:rsidR="00AC6C90" w:rsidRPr="008E0C70" w:rsidRDefault="00AC6C90" w:rsidP="00AC6C90">
            <w:pPr>
              <w:jc w:val="both"/>
              <w:rPr>
                <w:b/>
                <w:bCs/>
              </w:rPr>
            </w:pPr>
            <w:r w:rsidRPr="008E0C70">
              <w:rPr>
                <w:b/>
                <w:bCs/>
              </w:rPr>
              <w:t>Mr Kenneth Lau</w:t>
            </w:r>
          </w:p>
          <w:p w14:paraId="4889C51E" w14:textId="168C83CD" w:rsidR="00AC6C90" w:rsidRPr="00AC6C90" w:rsidRDefault="00AC6C90" w:rsidP="00AC6C90">
            <w:pPr>
              <w:jc w:val="both"/>
            </w:pPr>
            <w:r>
              <w:t>Executive Director, CCB International</w:t>
            </w:r>
          </w:p>
          <w:p w14:paraId="33DC53ED" w14:textId="77777777" w:rsidR="00AC6C90" w:rsidRDefault="00AC6C90" w:rsidP="00C108F0">
            <w:pPr>
              <w:snapToGrid w:val="0"/>
              <w:jc w:val="both"/>
              <w:rPr>
                <w:b/>
                <w:bCs/>
              </w:rPr>
            </w:pPr>
          </w:p>
          <w:p w14:paraId="48D37D71" w14:textId="697B2236" w:rsidR="00F842AB" w:rsidRPr="008A4E8E" w:rsidRDefault="00F842AB" w:rsidP="00C108F0">
            <w:pPr>
              <w:snapToGrid w:val="0"/>
              <w:jc w:val="both"/>
              <w:rPr>
                <w:b/>
                <w:bCs/>
              </w:rPr>
            </w:pPr>
            <w:r w:rsidRPr="008A4E8E">
              <w:rPr>
                <w:b/>
                <w:bCs/>
              </w:rPr>
              <w:t>Mr Ashish Panjabi</w:t>
            </w:r>
          </w:p>
          <w:p w14:paraId="25B05888" w14:textId="77777777" w:rsidR="00F842AB" w:rsidRDefault="00F842AB" w:rsidP="00C108F0">
            <w:pPr>
              <w:snapToGrid w:val="0"/>
              <w:jc w:val="both"/>
            </w:pPr>
            <w:r>
              <w:t>Chief Operating Officer, Jacky’s Group of Companies</w:t>
            </w:r>
          </w:p>
          <w:p w14:paraId="41AEA8BF" w14:textId="77777777" w:rsidR="00F842AB" w:rsidRDefault="00F842AB" w:rsidP="00C108F0">
            <w:pPr>
              <w:snapToGrid w:val="0"/>
              <w:jc w:val="both"/>
            </w:pPr>
          </w:p>
          <w:p w14:paraId="5EC1460E" w14:textId="77777777" w:rsidR="00F842AB" w:rsidRPr="008A4E8E" w:rsidRDefault="00F842AB" w:rsidP="00C108F0">
            <w:pPr>
              <w:snapToGrid w:val="0"/>
              <w:jc w:val="both"/>
              <w:rPr>
                <w:b/>
                <w:bCs/>
              </w:rPr>
            </w:pPr>
            <w:r w:rsidRPr="008A4E8E">
              <w:rPr>
                <w:b/>
                <w:bCs/>
              </w:rPr>
              <w:t xml:space="preserve">Mr Muhammed </w:t>
            </w:r>
            <w:proofErr w:type="spellStart"/>
            <w:r w:rsidRPr="008A4E8E">
              <w:rPr>
                <w:b/>
                <w:bCs/>
              </w:rPr>
              <w:t>Noufel</w:t>
            </w:r>
            <w:proofErr w:type="spellEnd"/>
          </w:p>
          <w:p w14:paraId="3BD649DB" w14:textId="54D33770" w:rsidR="00F842AB" w:rsidRPr="008A4E8E" w:rsidRDefault="00F842AB" w:rsidP="00C108F0">
            <w:pPr>
              <w:snapToGrid w:val="0"/>
              <w:jc w:val="both"/>
            </w:pPr>
            <w:r>
              <w:t>Chairman &amp; MD, Specialized Lighting Trading LLC</w:t>
            </w:r>
          </w:p>
        </w:tc>
      </w:tr>
      <w:tr w:rsidR="00153C1C" w14:paraId="2847198D" w14:textId="77777777" w:rsidTr="00C87E14">
        <w:trPr>
          <w:trHeight w:val="467"/>
        </w:trPr>
        <w:tc>
          <w:tcPr>
            <w:tcW w:w="1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AC509" w14:textId="77777777" w:rsidR="00153C1C" w:rsidRDefault="00153C1C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</w:rPr>
            </w:pPr>
            <w:r>
              <w:rPr>
                <w:rFonts w:eastAsia="微軟正黑體"/>
                <w:bCs/>
              </w:rPr>
              <w:lastRenderedPageBreak/>
              <w:t>16:00</w:t>
            </w:r>
          </w:p>
          <w:p w14:paraId="53B5CA8D" w14:textId="7B52DCBB" w:rsidR="00327465" w:rsidRPr="00327465" w:rsidRDefault="00327465" w:rsidP="00153C1C">
            <w:pPr>
              <w:adjustRightInd w:val="0"/>
              <w:snapToGrid w:val="0"/>
              <w:spacing w:line="340" w:lineRule="exact"/>
              <w:rPr>
                <w:rFonts w:eastAsia="微軟正黑體"/>
                <w:bCs/>
                <w:i/>
                <w:iCs/>
              </w:rPr>
            </w:pPr>
            <w:r w:rsidRPr="00327465">
              <w:rPr>
                <w:rFonts w:eastAsia="微軟正黑體"/>
                <w:bCs/>
                <w:i/>
                <w:iCs/>
              </w:rPr>
              <w:t>(12:00)</w:t>
            </w:r>
          </w:p>
        </w:tc>
        <w:tc>
          <w:tcPr>
            <w:tcW w:w="8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207814" w14:textId="77777777" w:rsidR="00153C1C" w:rsidRDefault="00153C1C" w:rsidP="00153C1C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Programme Ends</w:t>
            </w:r>
          </w:p>
          <w:p w14:paraId="7E19365A" w14:textId="512C20A1" w:rsidR="00FC27CE" w:rsidRPr="00FC27CE" w:rsidRDefault="00FC27CE" w:rsidP="00FC27CE">
            <w:pPr>
              <w:tabs>
                <w:tab w:val="left" w:pos="1560"/>
              </w:tabs>
            </w:pPr>
          </w:p>
        </w:tc>
      </w:tr>
      <w:bookmarkEnd w:id="2"/>
    </w:tbl>
    <w:p w14:paraId="530F3855" w14:textId="11227368" w:rsidR="00AC43CD" w:rsidRDefault="00AC43CD"/>
    <w:p w14:paraId="71B20D68" w14:textId="15A8026A" w:rsidR="00153C1C" w:rsidRPr="00153C1C" w:rsidRDefault="00153C1C" w:rsidP="00153C1C">
      <w:pPr>
        <w:jc w:val="right"/>
        <w:rPr>
          <w:i/>
          <w:iCs/>
          <w:sz w:val="20"/>
          <w:szCs w:val="20"/>
        </w:rPr>
      </w:pPr>
      <w:r w:rsidRPr="00153C1C">
        <w:rPr>
          <w:i/>
          <w:iCs/>
          <w:sz w:val="22"/>
          <w:szCs w:val="22"/>
        </w:rPr>
        <w:t>Programme is subject to change without prior notice</w:t>
      </w:r>
      <w:r w:rsidRPr="00153C1C">
        <w:rPr>
          <w:i/>
          <w:iCs/>
          <w:sz w:val="20"/>
          <w:szCs w:val="20"/>
        </w:rPr>
        <w:t xml:space="preserve">. </w:t>
      </w:r>
    </w:p>
    <w:sectPr w:rsidR="00153C1C" w:rsidRPr="00153C1C" w:rsidSect="00DD406E">
      <w:headerReference w:type="default" r:id="rId8"/>
      <w:pgSz w:w="12240" w:h="15840"/>
      <w:pgMar w:top="1152" w:right="1008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758D" w14:textId="77777777" w:rsidR="004A0B1B" w:rsidRDefault="004A0B1B" w:rsidP="007A7085">
      <w:r>
        <w:separator/>
      </w:r>
    </w:p>
  </w:endnote>
  <w:endnote w:type="continuationSeparator" w:id="0">
    <w:p w14:paraId="7C5A278C" w14:textId="77777777" w:rsidR="004A0B1B" w:rsidRDefault="004A0B1B" w:rsidP="007A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60128" w14:textId="77777777" w:rsidR="004A0B1B" w:rsidRDefault="004A0B1B" w:rsidP="007A7085">
      <w:r>
        <w:separator/>
      </w:r>
    </w:p>
  </w:footnote>
  <w:footnote w:type="continuationSeparator" w:id="0">
    <w:p w14:paraId="0C8BEAA9" w14:textId="77777777" w:rsidR="004A0B1B" w:rsidRDefault="004A0B1B" w:rsidP="007A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E5020" w14:textId="165636A3" w:rsidR="000B66C8" w:rsidRDefault="000B66C8" w:rsidP="00DD406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2B6A55" wp14:editId="5EEDEDB4">
          <wp:simplePos x="0" y="0"/>
          <wp:positionH relativeFrom="column">
            <wp:posOffset>3295650</wp:posOffset>
          </wp:positionH>
          <wp:positionV relativeFrom="paragraph">
            <wp:posOffset>11430</wp:posOffset>
          </wp:positionV>
          <wp:extent cx="2902479" cy="9296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72" t="20532" r="164" b="26749"/>
                  <a:stretch/>
                </pic:blipFill>
                <pic:spPr bwMode="auto">
                  <a:xfrm>
                    <a:off x="0" y="0"/>
                    <a:ext cx="2902479" cy="92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AF0D0" w14:textId="43331712" w:rsidR="000B66C8" w:rsidRDefault="000B66C8" w:rsidP="00DD406E">
    <w:pPr>
      <w:pStyle w:val="Header"/>
      <w:jc w:val="center"/>
    </w:pPr>
  </w:p>
  <w:p w14:paraId="1CCC354E" w14:textId="77777777" w:rsidR="000B66C8" w:rsidRDefault="000B66C8" w:rsidP="00DD406E">
    <w:pPr>
      <w:pStyle w:val="Header"/>
      <w:jc w:val="center"/>
    </w:pPr>
  </w:p>
  <w:p w14:paraId="7F38AE50" w14:textId="77777777" w:rsidR="000B66C8" w:rsidRDefault="000B66C8" w:rsidP="00DD406E">
    <w:pPr>
      <w:pStyle w:val="Header"/>
      <w:jc w:val="center"/>
    </w:pPr>
  </w:p>
  <w:p w14:paraId="157301C9" w14:textId="63FDB002" w:rsidR="008C1F9F" w:rsidRDefault="008C1F9F" w:rsidP="00DD40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90233"/>
    <w:multiLevelType w:val="hybridMultilevel"/>
    <w:tmpl w:val="0D3E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3E1D"/>
    <w:multiLevelType w:val="hybridMultilevel"/>
    <w:tmpl w:val="7874940A"/>
    <w:lvl w:ilvl="0" w:tplc="EF08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lang w:val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70"/>
    <w:rsid w:val="00006B37"/>
    <w:rsid w:val="00011F6D"/>
    <w:rsid w:val="00046074"/>
    <w:rsid w:val="00083D87"/>
    <w:rsid w:val="000A0B51"/>
    <w:rsid w:val="000B2C39"/>
    <w:rsid w:val="000B66C8"/>
    <w:rsid w:val="000D75E8"/>
    <w:rsid w:val="000F414A"/>
    <w:rsid w:val="00153C1C"/>
    <w:rsid w:val="00180114"/>
    <w:rsid w:val="00191A14"/>
    <w:rsid w:val="001A6BCE"/>
    <w:rsid w:val="001E0DB7"/>
    <w:rsid w:val="00215B64"/>
    <w:rsid w:val="00266EC7"/>
    <w:rsid w:val="00287C86"/>
    <w:rsid w:val="002E6723"/>
    <w:rsid w:val="003029C4"/>
    <w:rsid w:val="003071E6"/>
    <w:rsid w:val="0031022A"/>
    <w:rsid w:val="00316F9A"/>
    <w:rsid w:val="00320D27"/>
    <w:rsid w:val="00327465"/>
    <w:rsid w:val="00337770"/>
    <w:rsid w:val="003962F4"/>
    <w:rsid w:val="003F4606"/>
    <w:rsid w:val="00452F2F"/>
    <w:rsid w:val="004A0B1B"/>
    <w:rsid w:val="004A12D9"/>
    <w:rsid w:val="004E18BC"/>
    <w:rsid w:val="004E6E87"/>
    <w:rsid w:val="004F77DA"/>
    <w:rsid w:val="00534608"/>
    <w:rsid w:val="00550EC3"/>
    <w:rsid w:val="005B134B"/>
    <w:rsid w:val="005F4869"/>
    <w:rsid w:val="005F710A"/>
    <w:rsid w:val="00613472"/>
    <w:rsid w:val="00641BB9"/>
    <w:rsid w:val="00657E0D"/>
    <w:rsid w:val="006654A2"/>
    <w:rsid w:val="006734CC"/>
    <w:rsid w:val="00682257"/>
    <w:rsid w:val="006C26F0"/>
    <w:rsid w:val="00713289"/>
    <w:rsid w:val="00726110"/>
    <w:rsid w:val="007333F7"/>
    <w:rsid w:val="00777296"/>
    <w:rsid w:val="007A7085"/>
    <w:rsid w:val="008A4E8E"/>
    <w:rsid w:val="008C1F9F"/>
    <w:rsid w:val="008E0C70"/>
    <w:rsid w:val="008E51ED"/>
    <w:rsid w:val="009447EE"/>
    <w:rsid w:val="009B2CC5"/>
    <w:rsid w:val="009C0F1A"/>
    <w:rsid w:val="009C5B77"/>
    <w:rsid w:val="009F247C"/>
    <w:rsid w:val="00A24D8B"/>
    <w:rsid w:val="00A861E8"/>
    <w:rsid w:val="00AC43CD"/>
    <w:rsid w:val="00AC5245"/>
    <w:rsid w:val="00AC6C90"/>
    <w:rsid w:val="00B145EE"/>
    <w:rsid w:val="00B3572F"/>
    <w:rsid w:val="00BB7E0C"/>
    <w:rsid w:val="00C007A2"/>
    <w:rsid w:val="00C108F0"/>
    <w:rsid w:val="00C257FA"/>
    <w:rsid w:val="00C87E14"/>
    <w:rsid w:val="00CA1A68"/>
    <w:rsid w:val="00CD6CED"/>
    <w:rsid w:val="00D25DE7"/>
    <w:rsid w:val="00D45A45"/>
    <w:rsid w:val="00D4677A"/>
    <w:rsid w:val="00D91CE6"/>
    <w:rsid w:val="00DB498D"/>
    <w:rsid w:val="00DC13D7"/>
    <w:rsid w:val="00DC4358"/>
    <w:rsid w:val="00DD406E"/>
    <w:rsid w:val="00E13351"/>
    <w:rsid w:val="00E3376C"/>
    <w:rsid w:val="00E41B15"/>
    <w:rsid w:val="00E80336"/>
    <w:rsid w:val="00F842AB"/>
    <w:rsid w:val="00FC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4E6FC"/>
  <w15:chartTrackingRefBased/>
  <w15:docId w15:val="{44DC6473-6AD9-4B80-9D9B-0C06EF0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70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unhideWhenUsed/>
    <w:rsid w:val="00337770"/>
    <w:pPr>
      <w:ind w:left="480"/>
    </w:pPr>
    <w:rPr>
      <w:szCs w:val="20"/>
      <w:lang w:val="en-US"/>
    </w:rPr>
  </w:style>
  <w:style w:type="table" w:styleId="TableGrid">
    <w:name w:val="Table Grid"/>
    <w:basedOn w:val="TableNormal"/>
    <w:uiPriority w:val="59"/>
    <w:rsid w:val="00337770"/>
    <w:pPr>
      <w:spacing w:after="0" w:line="240" w:lineRule="auto"/>
    </w:pPr>
    <w:rPr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37770"/>
    <w:pPr>
      <w:spacing w:after="0" w:line="240" w:lineRule="auto"/>
    </w:pPr>
    <w:rPr>
      <w:lang w:eastAsia="zh-TW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D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D87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paragraph" w:styleId="Footer">
    <w:name w:val="footer"/>
    <w:basedOn w:val="Normal"/>
    <w:link w:val="FooterChar"/>
    <w:uiPriority w:val="99"/>
    <w:unhideWhenUsed/>
    <w:rsid w:val="00083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D87"/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paragraph" w:styleId="ListParagraph">
    <w:name w:val="List Paragraph"/>
    <w:basedOn w:val="Normal"/>
    <w:uiPriority w:val="34"/>
    <w:qFormat/>
    <w:rsid w:val="00CD6CED"/>
    <w:pPr>
      <w:ind w:left="720"/>
      <w:contextualSpacing/>
    </w:pPr>
  </w:style>
  <w:style w:type="paragraph" w:styleId="Revision">
    <w:name w:val="Revision"/>
    <w:hidden/>
    <w:uiPriority w:val="99"/>
    <w:semiHidden/>
    <w:rsid w:val="00F842AB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B90C-3AFD-49B1-9782-14A4F727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ccbi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Shih</dc:creator>
  <cp:keywords/>
  <dc:description/>
  <cp:lastModifiedBy>Eric Kwok, YI (SP)</cp:lastModifiedBy>
  <cp:revision>13</cp:revision>
  <cp:lastPrinted>2022-06-16T03:31:00Z</cp:lastPrinted>
  <dcterms:created xsi:type="dcterms:W3CDTF">2024-01-08T09:19:00Z</dcterms:created>
  <dcterms:modified xsi:type="dcterms:W3CDTF">2024-01-10T01:01:00Z</dcterms:modified>
</cp:coreProperties>
</file>